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снижение средней цены товаров, ввезённых по параллельному импорту, достигает 50%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2022,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заявила заместитель руководителя ФАС России Карина Таукенова на X юбилейном международном форуме «Антиконтрафакт-2022»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сессии «На стыке компетенций: практика, проблемы и перспективы межведомственного взаимодействия при защите рынка от контрафактной продукции» Карина Таукенова рассказала о некоторых результатах внедрения параллельного импорта в России*.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информации, поступившей от крупнейших маркетплейсов, в категориях «одежда», «обувь», где разрешён свободный импорт, наблюдается снижение средней цены товаров от 7% до 50%.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по определённым категориям потребительских товаров, где свободный импорт пока не допущен, отмечается рост цен на отдельные категории до 30% и снижение объёмов реализации от 8% до 20% по сравнению с предыдущим годом.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отметила, что ключевыми игроками для обеспечения насыщения рынка выступают участники торговой инфраструктуры, и они играют важную роль в борьбе с контрафактной продукцией: им необходимо обеспечить беспрепятственный допуск на торговые площадки добросовестным импортёрам и продавцам и не допустить попадания в оборот контрафактной, нелегально произведённой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Карина Таукенова подчеркнула, что разработка соответствующих правил активно ведется ведущими маркетплейсами. По инициативе ведомства проведён ряд совместных встреч, где обозначено намерение всех торговых площадок внедрять механизмы взаимодействия с продавцами, направленные на минимизацию объёма попадающего в продажу контрафакта.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ведомства рассказала, что участники рынка уже запустили в тестовом режиме на площадке АКИТ единую информационную систему по борьбе с контрафактом: обмен данными позволит быстро выявлять нарушения и отсекать предложения с подделками сразу на всех площадках.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Карина Таукенова напомнила всем участникам, что гарантийное обслуживание в соответствии с законодательством обязан осуществлять производитель, продавец, импортёр товаров. Даже в отсутствие возможности обращения в представительство производителя покупатель может обратиться к продавцу или импортёру. Вместе с тем объем гарантии по срокам и объемам работ может быть добровольно расширен любым участником цепочки.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Постановление от 29 марта 2022 года №506 "О товарах (группах товаров),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деятельности, выраженные в таких товарах, и средства индивидуализации, которыми такие товары маркированы"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