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защита конкуренции имеет для государства важнейшее значение и является конституционно значимой целью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2023, 16:40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службы Максим Шаскольский сообщил об этом на международной научно-практической конференции «Антимонопольная политика: наука, практика, образование» в Сколково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Пленарное заседание конференции посвящено 30-летию Конституции Российской Федерации. Принятая тридцать лет назад Конституция Российской Федерации впервые в истории России закрепила в качестве одной из основ конституционного строя защиту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тема защиты конкуренции прослеживается не только в Конституции Российской Федерации, но и в конституциях многих стран, в том числе Индии, Китая, Монголии, Индонезии, а также государств – членов СНГ, в частности, Армении и Казахстана.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внимание в своем докладе руководитель ведомства уделил двум значимым для антимонопольной службы постановлениям Конституционного Суда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постановление касается недопустимости расширения толкования законодательных иммунитетов для картелей. Это значит, что государство не обязано предоставлять любой группе лиц иммунитет от ответственности за заключение антиконкурентных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соглашений
        </w:t>
        </w:r>
      </w:hyperlink>
      <w:r>
        <w:t xml:space="preserve">, включая картели на торгах. Второе уточняет порядок расчета размера преступного дохода, который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определяется
        </w:t>
        </w:r>
      </w:hyperlink>
      <w:r>
        <w:t xml:space="preserve"> исходя из выручки, полученной лицом за все время такой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доклада Максим Шаскольский отметил актуальные направления совершенствования законодательства страны. Например, введение механизма принудительного лицензирования, который позволяет ограничить исключительные права патентообладателей в случаях, связанных с охраной жизни и здоровья людей.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менее эффективным механизмом обеспечения публичных интересов является развитие параллельного импорта. С точки зрения конкуренции он важен как механизм снижения уровня власти правообладателя, насыщения рынка, снижения или сдерживания цен, создания новых рабочих мест и возможностей для малого и среднего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значение также имеет защита публичных интересов в условиях развития цифровой экономики и интернет-торговли. Одной из приоритетных задач ФАС России является защита интересов потребителей и добросовестных участников цифровых рынков от злоупотреблений со стороны «цифровых монополий».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значимым для ФАС России направлением остается антимонопольный контроль в сфере интеллектуальной собственности. Использование результатов интеллектуальной деятельности осложнено возможной монополизацией товарных рынков и ограничением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Конституция с одной стороны гарантирует охрану интеллектуальной собственности, а с другой – устанавливает запрет на экономическую деятельность, направленную на монополизацию и недобросовестную конкуренцию.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антимонопольные иммунитеты в этой сфере используются не для дополнительной охраны интеллектуальной собственности, а в целях ограничения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антимонопольного законодательства зарубежных государств указывает на отсутствие таких «антимонопольных иммунитетов». ФАС России считает необходимым проработать этот вопрос с другими конкурентными ведомствами. Это позволит пресекать и предупреждать антимонопольные нарушения с использованием результатов интеллектуальной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93" TargetMode="External" Id="rId8"/>
  <Relationship Type="http://schemas.openxmlformats.org/officeDocument/2006/relationships/hyperlink" Target="https://fas.gov.ru/news/3253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